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CN-0089 · Constitutional</w:t>
      </w:r>
    </w:p>
    <w:p>
      <w:pPr>
        <w:pStyle w:val="Title"/>
      </w:pPr>
      <w:r>
        <w:t xml:space="preserve">Religious Denomination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makes a group a religious denomination entitled to manage its own affairs, and how courts have applied the three requirements.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26</w:t>
      </w:r>
    </w:p>
    <w:p>
      <w:pPr>
        <w:pStyle w:val="Bullet"/>
      </w:pPr>
      <w:r>
        <w:t xml:space="preserve">•  S.P. Mittal v. Union of India, (1983) 1 SCC 51</w:t>
      </w:r>
    </w:p>
    <w:p>
      <w:pPr>
        <w:pStyle w:val="Bullet"/>
      </w:pPr>
      <w:r>
        <w:t xml:space="preserve">•  Commr., Hindu Religious Endowments v. Sri Lakshmindra Thirtha Swamiar of Sri Shirur Mutt, AIR 1954 SC 282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https://firstprecedent.org/concepts/religious-denomination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