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CN-0527 · Evidence</w:t>
      </w:r>
    </w:p>
    <w:p>
      <w:pPr>
        <w:pStyle w:val="Title"/>
      </w:pPr>
      <w:r>
        <w:t xml:space="preserve">Relevancy of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an earlier judgment may be proved in a later case, and the special force of judgments in probate, matrimonial, admiralty and insolvency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40–44 (now Bharatiya Sakshya Adhiniyam, 2023, §§ 34–38)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https://firstprecedent.org/concepts/relevancy-of-judgments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