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CN-0675 · IP</w:t>
      </w:r>
    </w:p>
    <w:p>
      <w:pPr>
        <w:pStyle w:val="Title"/>
      </w:pPr>
      <w:r>
        <w:t xml:space="preserve">Relative Grounds for Refusal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Refusal of a trade mark because it conflicts with an earlier mark, as against refusal for defects in the mark itself.</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Trade Marks Act, 1999, § 11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https://firstprecedent.org/concepts/relative-grounds-for-refusal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