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CN-0625 · Banking</w:t>
      </w:r>
    </w:p>
    <w:p>
      <w:pPr>
        <w:pStyle w:val="Title"/>
      </w:pPr>
      <w:r>
        <w:t xml:space="preserve">Related Party in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connected persons shut out of the committee of creditors, and whether the bar follows a debt that is assigned.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5(24)</w:t>
      </w:r>
    </w:p>
    <w:p>
      <w:pPr>
        <w:pStyle w:val="Bullet"/>
      </w:pPr>
      <w:r>
        <w:t xml:space="preserve">•  Phoenix ARC (P) Ltd. v. Spade Financial Services Ltd., (2021) 3 SCC 475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https://firstprecedent.org/concepts/related-party-in-insolvency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