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CN-0078 · Constitutional</w:t>
      </w:r>
    </w:p>
    <w:p>
      <w:pPr>
        <w:pStyle w:val="Title"/>
      </w:pPr>
      <w:r>
        <w:t xml:space="preserve">Reasonable Restriction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makes a limit on an Article 19 freedom reasonable, in substance and in procedure, and who carries the burden of showing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19(2)–(6)</w:t>
      </w:r>
    </w:p>
    <w:p>
      <w:pPr>
        <w:pStyle w:val="Bullet"/>
      </w:pPr>
      <w:r>
        <w:t xml:space="preserve">•  State of Madras v. V.G. Row, AIR 1952 SC 196</w:t>
      </w:r>
    </w:p>
    <w:p>
      <w:pPr>
        <w:pStyle w:val="Bullet"/>
      </w:pPr>
      <w:r>
        <w:t xml:space="preserve">•  Chintaman Rao v. State of M.P., AIR 1951 SC 118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https://firstprecedent.org/concepts/reasonable-restriction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