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CN-0034 · Jurisprudence</w:t>
      </w:r>
    </w:p>
    <w:p>
      <w:pPr>
        <w:pStyle w:val="Title"/>
      </w:pPr>
      <w:r>
        <w:t xml:space="preserve">Ratio Decidendi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in a judgment binds: finding the ratio, separating it from obiter, and reading plurality decisions of larger benches.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Dhanwanti Devi, (1996) 6 SCC 44</w:t>
      </w:r>
    </w:p>
    <w:p>
      <w:pPr>
        <w:pStyle w:val="Bullet"/>
      </w:pPr>
      <w:r>
        <w:t xml:space="preserve">•  India Const. art. 141</w:t>
      </w:r>
    </w:p>
    <w:p>
      <w:pPr>
        <w:pStyle w:val="Bullet"/>
      </w:pPr>
      <w:r>
        <w:t xml:space="preserve">•  State of Orissa v. Sudhansu Sekhar Misra, AIR 1968 SC 647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https://firstprecedent.org/concepts/ratio-decidendi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