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CN-0083 · Administrative</w:t>
      </w:r>
    </w:p>
    <w:p>
      <w:pPr>
        <w:pStyle w:val="Title"/>
      </w:pPr>
      <w:r>
        <w:t xml:space="preserve">Quo Warranto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asks by what authority a person holds a public office, and why any citizen may ask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University of Mysore v. C.D. Govinda Rao, AIR 1965 SC 491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https://firstprecedent.org/concepts/quo-warranto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