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CN-0208 · Contract</w:t>
      </w:r>
    </w:p>
    <w:p>
      <w:pPr>
        <w:pStyle w:val="Title"/>
      </w:pPr>
      <w:r>
        <w:t xml:space="preserve">Quasi-Contract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Obligations the law imposes as if there were a contract, from necessaries supplied to money paid by mistake.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68–72</w:t>
      </w:r>
    </w:p>
    <w:p>
      <w:pPr>
        <w:pStyle w:val="Bullet"/>
      </w:pPr>
      <w:r>
        <w:t xml:space="preserve">•  State of West Bengal v. B.K. Mondal &amp; Sons, AIR 1962 SC 779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https://firstprecedent.org/concepts/quasi-contract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