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CN-0378 · Media</w:t>
      </w:r>
    </w:p>
    <w:p>
      <w:pPr>
        <w:pStyle w:val="Title"/>
      </w:pPr>
      <w:r>
        <w:t xml:space="preserve">Publisher of News and Current Affairs Content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Digital news outlets and streaming services under Part III of the 2021 Rules, and the three-tier grievance structure placed over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(Intermediary Guidelines and Digital Media Ethics Code) Rules, 2021, rules 2(1)(t), 8–14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https://firstprecedent.org/concepts/publisher-of-news-and-current-affairs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