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CN-0249 · Property</w:t>
      </w:r>
    </w:p>
    <w:p>
      <w:pPr>
        <w:pStyle w:val="Title"/>
      </w:pPr>
      <w:r>
        <w:t xml:space="preserve">Public Purpose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purposes for which the State may take private land, and how far a court will examine the government’s view of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 to Fair Compensation and Transparency in Land Acquisition, Rehabilitation and Resettlement Act, 2013, § 2</w:t>
      </w:r>
    </w:p>
    <w:p>
      <w:pPr>
        <w:pStyle w:val="Bullet"/>
      </w:pPr>
      <w:r>
        <w:t xml:space="preserve">•  Sooraram Pratap Reddy v. District Collector, (2008) 9 SCC 552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https://firstprecedent.org/concepts/public-purpose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