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CN-0077 · Constitutional</w:t>
      </w:r>
    </w:p>
    <w:p>
      <w:pPr>
        <w:pStyle w:val="Title"/>
      </w:pPr>
      <w:r>
        <w:t xml:space="preserve">Public Order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public order differs from law and order and from the security of the State, and why the difference decides many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19(2)–(4)</w:t>
      </w:r>
    </w:p>
    <w:p>
      <w:pPr>
        <w:pStyle w:val="Bullet"/>
      </w:pPr>
      <w:r>
        <w:t xml:space="preserve">•  Ram Manohar Lohia v. State of Bihar, AIR 1966 SC 740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https://firstprecedent.org/concepts/public-order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