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CN-0063 · Tort</w:t>
      </w:r>
    </w:p>
    <w:p>
      <w:pPr>
        <w:pStyle w:val="Title"/>
      </w:pPr>
      <w:r>
        <w:t xml:space="preserve">Public Nuisance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wrong to the public at large, dealt with by the criminal law, by the magistrate and by a civil suit with special damage.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268 (now Bharatiya Nyaya Sanhita, 2023, § 270)</w:t>
      </w:r>
    </w:p>
    <w:p>
      <w:pPr>
        <w:pStyle w:val="Bullet"/>
      </w:pPr>
      <w:r>
        <w:t xml:space="preserve">•  Municipal Council, Ratlam v. Vardichan, (1980) 4 SCC 162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https://firstprecedent.org/concepts/public-nuisance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