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CN-0121 · Administrative</w:t>
      </w:r>
    </w:p>
    <w:p>
      <w:pPr>
        <w:pStyle w:val="Title"/>
      </w:pPr>
      <w:r>
        <w:t xml:space="preserve">Public Authority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bodies must answer requests for information, and when a private body is so heavily financed by government that it is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Information Act, 2005, § 2(h)</w:t>
      </w:r>
    </w:p>
    <w:p>
      <w:pPr>
        <w:pStyle w:val="Bullet"/>
      </w:pPr>
      <w:r>
        <w:t xml:space="preserve">•  Thalappalam Service Coop. Bank Ltd. v. State of Kerala, (2013) 16 SCC 82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https://firstprecedent.org/concepts/public-authority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