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CN-0777 · Legal History</w:t>
      </w:r>
    </w:p>
    <w:p>
      <w:pPr>
        <w:pStyle w:val="Title"/>
      </w:pPr>
      <w:r>
        <w:t xml:space="preserve">Provincial Autonomy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1935 scheme that gave the provinces responsible government and a list of their own subjects.</w:t>
      </w:r>
    </w:p>
    <w:p>
      <w:pPr>
        <w:pStyle w:val="Guidance"/>
      </w:pPr>
      <w:r>
        <w:t xml:space="preserve">Authorities to start from. These are places to begin, listed by the editors. Read each one in the original and check the citation before you rely on it.</w:t>
      </w:r>
    </w:p>
    <w:p>
      <w:pPr>
        <w:pStyle w:val="Bullet"/>
      </w:pPr>
      <w:r>
        <w:t xml:space="preserve">•  Government of India Act, 1935, §§ 49–53, 100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https://firstprecedent.org/concepts/provincial-autonomy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