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CN-0442 · Constitutional</w:t>
      </w:r>
    </w:p>
    <w:p>
      <w:pPr>
        <w:pStyle w:val="Title"/>
      </w:pPr>
      <w:r>
        <w:t xml:space="preserve">Propagation of Religion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spread one’s religion by exposition, and why it does not include a right to convert another person.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25(1)</w:t>
      </w:r>
    </w:p>
    <w:p>
      <w:pPr>
        <w:pStyle w:val="Bullet"/>
      </w:pPr>
      <w:r>
        <w:t xml:space="preserve">•  Rev. Stainislaus v. State of Madhya Pradesh, (1977) 1 SCC 677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https://firstprecedent.org/concepts/propagation-of-religion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