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CN-0707 · Media</w:t>
      </w:r>
    </w:p>
    <w:p>
      <w:pPr>
        <w:pStyle w:val="Title"/>
      </w:pPr>
      <w:r>
        <w:t xml:space="preserve">Programme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content standards that cable and satellite channels must follow, and the government’s power to prohibit transmission.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Cable Television Networks (Regulation) Act, 1995, §§ 5, 19, 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https://firstprecedent.org/concepts/programme-code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