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CN-0550 · Civil Procedure</w:t>
      </w:r>
    </w:p>
    <w:p>
      <w:pPr>
        <w:pStyle w:val="Title"/>
      </w:pPr>
      <w:r>
        <w:t xml:space="preserve">Professional Misconduct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Conduct for which an advocate may be disciplined by the Bar Council, and the range of punishment.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Advocates Act, 1961, § 35</w:t>
      </w:r>
    </w:p>
    <w:p>
      <w:pPr>
        <w:pStyle w:val="Bullet"/>
      </w:pPr>
      <w:r>
        <w:t xml:space="preserve">•  Bar Council of Maharashtra v. M.V. Dabholkar, (1975) 2 SCC 702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https://firstprecedent.org/concepts/professional-misconduct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