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CN-0225 · Tort</w:t>
      </w:r>
    </w:p>
    <w:p>
      <w:pPr>
        <w:pStyle w:val="Title"/>
      </w:pPr>
      <w:r>
        <w:t xml:space="preserve">Product Liability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responsibility of a manufacturer, service provider and seller for harm caused by a defective product, introduced by the 2019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Consumer Protection Act, 2019, §§ 82–87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https://firstprecedent.org/concepts/product-liability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