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CN-0085 · Constitutional</w:t>
      </w:r>
    </w:p>
    <w:p>
      <w:pPr>
        <w:pStyle w:val="Title"/>
      </w:pPr>
      <w:r>
        <w:t xml:space="preserve">Proclamation of Emergency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three kinds of emergency, what each does to the federal balance and to fundamental rights, and the changes made in 1978.</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352, 358, 359</w:t>
      </w:r>
    </w:p>
    <w:p>
      <w:pPr>
        <w:pStyle w:val="Bullet"/>
      </w:pPr>
      <w:r>
        <w:t xml:space="preserve">•  ADM Jabalpur v. Shivkant Shukla, (1976) 2 SCC 521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https://firstprecedent.org/concepts/proclamation-of-emergency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