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CN-0004 · Constitutional</w:t>
      </w:r>
    </w:p>
    <w:p>
      <w:pPr>
        <w:pStyle w:val="Title"/>
      </w:pPr>
      <w:r>
        <w:t xml:space="preserve">Procedure Established by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phrase chosen over "due process" in Article 21, what the framers meant by it, and how it came to require fairness after 1978.</w:t>
      </w:r>
    </w:p>
    <w:p>
      <w:pPr>
        <w:pStyle w:val="Guidance"/>
      </w:pPr>
      <w:r>
        <w:t xml:space="preserve">Authorities to start from. These are places to begin, listed by the editors. Read each one in the original and check the citation before you rely on it.</w:t>
      </w:r>
    </w:p>
    <w:p>
      <w:pPr>
        <w:pStyle w:val="Bullet"/>
      </w:pPr>
      <w:r>
        <w:t xml:space="preserve">•  A.K. Gopalan v. State of Madras, AIR 1950 SC 27</w:t>
      </w:r>
    </w:p>
    <w:p>
      <w:pPr>
        <w:pStyle w:val="Bullet"/>
      </w:pPr>
      <w:r>
        <w:t xml:space="preserve">•  Maneka Gandhi v. Union of India, (1978) 1 SCC 248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https://firstprecedent.org/concepts/procedure-established-by-law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