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CN-0155 · Criminal</w:t>
      </w:r>
    </w:p>
    <w:p>
      <w:pPr>
        <w:pStyle w:val="Title"/>
      </w:pPr>
      <w:r>
        <w:t xml:space="preserve">Probation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Release of an offender on good conduct instead of a sentence, the offenders it is meant for, and the duty to consider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Probation of Offenders Act, 1958, §§ 3, 4, 6</w:t>
      </w:r>
    </w:p>
    <w:p>
      <w:pPr>
        <w:pStyle w:val="Bullet"/>
      </w:pPr>
      <w:r>
        <w:t xml:space="preserve">•  Rattan Lal v. State of Punjab, AIR 1965 SC 444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https://firstprecedent.org/concepts/probation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