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CN-0230 · Tort</w:t>
      </w:r>
    </w:p>
    <w:p>
      <w:pPr>
        <w:pStyle w:val="Title"/>
      </w:pPr>
      <w:r>
        <w:t xml:space="preserve">Private Nuisance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Unreasonable interference with the use and enjoyment of land, what a claimant must show, and the defences.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Baj Singh v. Babulal, AIR 1982 All 285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https://firstprecedent.org/concepts/private-nuisance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