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CN-0006 · Constitutional</w:t>
      </w:r>
    </w:p>
    <w:p>
      <w:pPr>
        <w:pStyle w:val="Title"/>
      </w:pPr>
      <w:r>
        <w:t xml:space="preserve">Privacy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Privacy as a fundamental right: its sources in Part III, its three aspects (body, information, choice), and the limits the nine-judge bench allowed.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K.S. Puttaswamy v. Union of India, (2017) 10 SCC 1</w:t>
      </w:r>
    </w:p>
    <w:p>
      <w:pPr>
        <w:pStyle w:val="Bullet"/>
      </w:pPr>
      <w:r>
        <w:t xml:space="preserve">•  Gobind v. State of M.P., (1975) 2 SCC 148</w:t>
      </w:r>
    </w:p>
    <w:p>
      <w:pPr>
        <w:pStyle w:val="Bullet"/>
      </w:pPr>
      <w:r>
        <w:t xml:space="preserve">•  M.P. Sharma v. Satish Chandra, AIR 1954 SC 300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https://firstprecedent.org/concepts/privacy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