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CN-0742 · International (Public)</w:t>
      </w:r>
    </w:p>
    <w:p>
      <w:pPr>
        <w:pStyle w:val="Title"/>
      </w:pPr>
      <w:r>
        <w:t xml:space="preserve">Prisoner of War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Who is entitled to that status on capture, and the treatment the Third Geneva Convention requires.</w:t>
      </w:r>
    </w:p>
    <w:p>
      <w:pPr>
        <w:pStyle w:val="Guidance"/>
      </w:pPr>
      <w:r>
        <w:t xml:space="preserve">Authorities to start from. These are places to begin, listed by the editors. Read each one in the original and check the citation before you rely on it.</w:t>
      </w:r>
    </w:p>
    <w:p>
      <w:pPr>
        <w:pStyle w:val="Bullet"/>
      </w:pPr>
      <w:r>
        <w:t xml:space="preserve">•  Geneva Convention Relative to the Treatment of Prisoners of War, art. 4, Aug. 12, 1949, 75 U.N.T.S. 135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https://firstprecedent.org/concepts/prisoner-of-war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