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CN-0322 · Tax</w:t>
      </w:r>
    </w:p>
    <w:p>
      <w:pPr>
        <w:pStyle w:val="Title"/>
      </w:pPr>
      <w:r>
        <w:t xml:space="preserve">Previous Year and Assessment Year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year in which income is earned and the year in which it is taxed, and the cases where both fall together.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2(9), 3, 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https://firstprecedent.org/concepts/previous-year-and-assessment-year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