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CN-0086 · Constitutional</w:t>
      </w:r>
    </w:p>
    <w:p>
      <w:pPr>
        <w:pStyle w:val="Title"/>
      </w:pPr>
      <w:r>
        <w:t xml:space="preserve">Preventive Detention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Detention without trial to prevent a future act, the safeguards of Article 22, and how closely a court examines the detaining authority’s satisfaction.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22(3)–(7)</w:t>
      </w:r>
    </w:p>
    <w:p>
      <w:pPr>
        <w:pStyle w:val="Bullet"/>
      </w:pPr>
      <w:r>
        <w:t xml:space="preserve">•  A.K. Roy v. Union of India, (1982) 1 SCC 271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https://firstprecedent.org/concepts/preventive-detention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