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CN-0199 · Property</w:t>
      </w:r>
    </w:p>
    <w:p>
      <w:pPr>
        <w:pStyle w:val="Title"/>
      </w:pPr>
      <w:r>
        <w:t xml:space="preserve">Pre-emption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step into a buyer’s shoes on a sale of neighbouring or co-owned land, its sources, and why courts call it a weak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Bishan Singh v. Khazan Singh, AIR 1958 SC 838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