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CN-0580 · Property</w:t>
      </w:r>
    </w:p>
    <w:p>
      <w:pPr>
        <w:pStyle w:val="Title"/>
      </w:pPr>
      <w:r>
        <w:t xml:space="preserve">Power of Attorney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Authority given in writing to act for another, when it is irrevocable, and why it does not transfer title.</w:t>
      </w:r>
    </w:p>
    <w:p>
      <w:pPr>
        <w:pStyle w:val="Guidance"/>
      </w:pPr>
      <w:r>
        <w:t xml:space="preserve">Authorities to start from. These are places to begin, listed by the editors. Read each one in the original and check the citation before you rely on it.</w:t>
      </w:r>
    </w:p>
    <w:p>
      <w:pPr>
        <w:pStyle w:val="Bullet"/>
      </w:pPr>
      <w:r>
        <w:t xml:space="preserve">•  Powers-of-Attorney Act, 1882</w:t>
      </w:r>
    </w:p>
    <w:p>
      <w:pPr>
        <w:pStyle w:val="Bullet"/>
      </w:pPr>
      <w:r>
        <w:t xml:space="preserve">•  Suraj Lamp &amp; Industries (P) Ltd. v. State of Haryana, (2012) 1 SCC 656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https://firstprecedent.org/concepts/power-of-attorney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