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CN-0023 · Property</w:t>
      </w:r>
    </w:p>
    <w:p>
      <w:pPr>
        <w:pStyle w:val="Title"/>
      </w:pPr>
      <w:r>
        <w:t xml:space="preserve">Possession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Possession as fact and as right: corpus and animus, the protection of settled possession, and its relation to title.</w:t>
      </w:r>
    </w:p>
    <w:p>
      <w:pPr>
        <w:pStyle w:val="Guidance"/>
      </w:pPr>
      <w:r>
        <w:t xml:space="preserve">Authorities to start from. These are places to begin, listed by the editors. Read each one in the original and check the citation before you rely on it.</w:t>
      </w:r>
    </w:p>
    <w:p>
      <w:pPr>
        <w:pStyle w:val="Bullet"/>
      </w:pPr>
      <w:r>
        <w:t xml:space="preserve">•  Rame Gowda v. M. Varadappa Naidu, (2004) 1 SCC 769</w:t>
      </w:r>
    </w:p>
    <w:p>
      <w:pPr>
        <w:pStyle w:val="Bullet"/>
      </w:pPr>
      <w:r>
        <w:t xml:space="preserve">•  Specific Relief Act, 1963, §§ 5–6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https://firstprecedent.org/concepts/possession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