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CN-0214 · Contract</w:t>
      </w:r>
    </w:p>
    <w:p>
      <w:pPr>
        <w:pStyle w:val="Title"/>
      </w:pPr>
      <w:r>
        <w:t xml:space="preserve">Pledge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Bailment of goods as security for a debt, the pledgee’s right to sell, and the pledgor’s right to redeem until sale.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172–179</w:t>
      </w:r>
    </w:p>
    <w:p>
      <w:pPr>
        <w:pStyle w:val="Bullet"/>
      </w:pPr>
      <w:r>
        <w:t xml:space="preserve">•  Lallan Prasad v. Rahmat Ali, AIR 1967 SC 1322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