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CN-0774 · Legal History</w:t>
      </w:r>
    </w:p>
    <w:p>
      <w:pPr>
        <w:pStyle w:val="Title"/>
      </w:pPr>
      <w:r>
        <w:t xml:space="preserve">Pitt’s India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1784 statute that placed the Company’s political affairs under a Board of Control in London.</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 India Company Act, 1784, 24 Geo. 3, sess. 2, c.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https://firstprecedent.org/concepts/pitts-india-act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