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CN-0733 · International (Public)</w:t>
      </w:r>
    </w:p>
    <w:p>
      <w:pPr>
        <w:pStyle w:val="Title"/>
      </w:pPr>
      <w:r>
        <w:t xml:space="preserve">Personality of International Organisations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capacity of an organisation such as the United Nations to hold rights and bring claims in its own name.</w:t>
      </w:r>
    </w:p>
    <w:p>
      <w:pPr>
        <w:pStyle w:val="Guidance"/>
      </w:pPr>
      <w:r>
        <w:t xml:space="preserve">Authorities to start from. These are places to begin, listed by the editors. Read each one in the original and check the citation before you rely on it.</w:t>
      </w:r>
    </w:p>
    <w:p>
      <w:pPr>
        <w:pStyle w:val="Bullet"/>
      </w:pPr>
      <w:r>
        <w:t xml:space="preserve">•  Reparation for Injuries Suffered in the Service of the United Nations, Advisory Opinion, 1949 I.C.J. 174 (Apr. 11)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https://firstprecedent.org/concepts/personality-of-international-organisations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