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CN-0005 · Constitutional</w:t>
      </w:r>
    </w:p>
    <w:p>
      <w:pPr>
        <w:pStyle w:val="Title"/>
      </w:pPr>
      <w:r>
        <w:t xml:space="preserve">Personal Liberty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reach of "personal liberty" in Article 21, from freedom from physical restraint to a residue of unenumerated freedoms.</w:t>
      </w:r>
    </w:p>
    <w:p>
      <w:pPr>
        <w:pStyle w:val="Guidance"/>
      </w:pPr>
      <w:r>
        <w:t xml:space="preserve">Authorities to start from. These are places to begin, listed by the editors. Read each one in the original and check the citation before you rely on it.</w:t>
      </w:r>
    </w:p>
    <w:p>
      <w:pPr>
        <w:pStyle w:val="Bullet"/>
      </w:pPr>
      <w:r>
        <w:t xml:space="preserve">•  Kharak Singh v. State of U.P., AIR 1963 SC 1295</w:t>
      </w:r>
    </w:p>
    <w:p>
      <w:pPr>
        <w:pStyle w:val="Bullet"/>
      </w:pPr>
      <w:r>
        <w:t xml:space="preserve">•  Maneka Gandhi v. Union of India, (1978) 1 SCC 248</w:t>
      </w:r>
    </w:p>
    <w:p>
      <w:pPr>
        <w:pStyle w:val="Bullet"/>
      </w:pPr>
      <w:r>
        <w:t xml:space="preserve">•  Francis Coralie Mullin v. Administrator, Union Territory of Delhi, (1981) 1 SCC 608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https://firstprecedent.org/concepts/personal-liberty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