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CN-0044 · Tax</w:t>
      </w:r>
    </w:p>
    <w:p>
      <w:pPr>
        <w:pStyle w:val="Title"/>
      </w:pPr>
      <w:r>
        <w:t xml:space="preserve">Permanent Establishment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threshold at which a foreign enterprise becomes taxable in India on its business profits: fixed place, agency and service presence.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DIT (International Taxation) v. Morgan Stanley &amp; Co. Inc., (2007) 7 SCC 1</w:t>
      </w:r>
    </w:p>
    <w:p>
      <w:pPr>
        <w:pStyle w:val="Bullet"/>
      </w:pPr>
      <w:r>
        <w:t xml:space="preserve">•  Formula One World Championship Ltd. v. CIT, (2017) 15 SCC 602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https://firstprecedent.org/concepts/permanent-establishment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