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CN-0592 · Family</w:t>
      </w:r>
    </w:p>
    <w:p>
      <w:pPr>
        <w:pStyle w:val="Title"/>
      </w:pPr>
      <w:r>
        <w:t xml:space="preserve">Parsi Marriage and Divorce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statute governing Parsi marriages, with its special courts and the delegates who assist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Parsi Marriage and Divorce Act, 1936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https://firstprecedent.org/concepts/parsi-marriage-and-divorce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