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CN-0161 · Media</w:t>
      </w:r>
    </w:p>
    <w:p>
      <w:pPr>
        <w:pStyle w:val="Title"/>
      </w:pPr>
      <w:r>
        <w:t xml:space="preserve">Outraging Religious Feelings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 of deliberately and maliciously insulting a religion, and why its validity was upheld only for aggravated insults.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295A (now Bharatiya Nyaya Sanhita, 2023, § 299)</w:t>
      </w:r>
    </w:p>
    <w:p>
      <w:pPr>
        <w:pStyle w:val="Bullet"/>
      </w:pPr>
      <w:r>
        <w:t xml:space="preserve">•  Ramji Lal Modi v. State of U.P., AIR 1957 SC 620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https://firstprecedent.org/concepts/outraging-religious-feelings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