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CN-0026 · Corporate</w:t>
      </w:r>
    </w:p>
    <w:p>
      <w:pPr>
        <w:pStyle w:val="Title"/>
      </w:pPr>
      <w:r>
        <w:t xml:space="preserve">Oppression and Mismanagement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minority shareholder’s statutory remedy: what conduct is "oppressive" or "prejudicial", and the width of the tribunal’s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241–242</w:t>
      </w:r>
    </w:p>
    <w:p>
      <w:pPr>
        <w:pStyle w:val="Bullet"/>
      </w:pPr>
      <w:r>
        <w:t xml:space="preserve">•  Shanti Prasad Jain v. Kalinga Tubes Ltd., AIR 1965 SC 1535</w:t>
      </w:r>
    </w:p>
    <w:p>
      <w:pPr>
        <w:pStyle w:val="Bullet"/>
      </w:pPr>
      <w:r>
        <w:t xml:space="preserve">•  Tata Consultancy Services Ltd. v. Cyrus Investments (P) Ltd., (2021) 9 SCC 449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https://firstprecedent.org/concepts/oppression-and-mismanagement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