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CN-0288 · Corporate</w:t>
      </w:r>
    </w:p>
    <w:p>
      <w:pPr>
        <w:pStyle w:val="Title"/>
      </w:pPr>
      <w:r>
        <w:t xml:space="preserve">Officer Who Is in Default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persons the Act holds answerable for a company’s defaults, including those on whose instructions the board is used to acting.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2(60)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https://firstprecedent.org/concepts/officer-in-default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