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CN-0201 · Contract</w:t>
      </w:r>
    </w:p>
    <w:p>
      <w:pPr>
        <w:pStyle w:val="Title"/>
      </w:pPr>
      <w:r>
        <w:t xml:space="preserve">Offer and Acceptance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proposal becomes a promise, when communication is complete, and where a contract made by telephone or email is concluded.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2–9</w:t>
      </w:r>
    </w:p>
    <w:p>
      <w:pPr>
        <w:pStyle w:val="Bullet"/>
      </w:pPr>
      <w:r>
        <w:t xml:space="preserve">•  Bhagwandas Goverdhandas Kedia v. Girdharilal Parshottamdas &amp; Co., AIR 1966 SC 543</w:t>
      </w:r>
    </w:p>
    <w:p>
      <w:pPr>
        <w:pStyle w:val="Bullet"/>
      </w:pPr>
      <w:r>
        <w:t xml:space="preserve">•  Lalman Shukla v. Gauri Datt, (1913) 11 ALJ 489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https://firstprecedent.org/concepts/offer-and-acceptance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