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CN-0398 · International (Public)</w:t>
      </w:r>
    </w:p>
    <w:p>
      <w:pPr>
        <w:pStyle w:val="Title"/>
      </w:pPr>
      <w:r>
        <w:t xml:space="preserve">Obligations Erga Omnes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Obligations owed to the international community as a whole, in whose protection every State has a legal interest.</w:t>
      </w:r>
    </w:p>
    <w:p>
      <w:pPr>
        <w:pStyle w:val="Guidance"/>
      </w:pPr>
      <w:r>
        <w:t xml:space="preserve">Authorities to start from. These are places to begin, listed by the editors. Read each one in the original and check the citation before you rely on it.</w:t>
      </w:r>
    </w:p>
    <w:p>
      <w:pPr>
        <w:pStyle w:val="Bullet"/>
      </w:pPr>
      <w:r>
        <w:t xml:space="preserve">•  Barcelona Traction, Light and Power Co. (Belg. v. Spain), Judgment, 1970 I.C.J. 3 (Feb. 5)</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https://firstprecedent.org/concepts/obligations-erga-omnes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