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CN-0419 · Jurisprudence</w:t>
      </w:r>
    </w:p>
    <w:p>
      <w:pPr>
        <w:pStyle w:val="Title"/>
      </w:pPr>
      <w:r>
        <w:t xml:space="preserve">Obiter Dictum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in a judgment not necessary to the decision, and the weight it carries when it comes from the Supreme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Delhi v. Gurnam Kaur, (1989) 1 SCC 101</w:t>
      </w:r>
    </w:p>
    <w:p>
      <w:pPr>
        <w:pStyle w:val="Bullet"/>
      </w:pPr>
      <w:r>
        <w:t xml:space="preserve">•  India Const. art. 141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https://firstprecedent.org/concepts/obiter-dictum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