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CN-0210 · Contract</w:t>
      </w:r>
    </w:p>
    <w:p>
      <w:pPr>
        <w:pStyle w:val="Title"/>
      </w:pPr>
      <w:r>
        <w:t xml:space="preserve">Novation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replacement of one contract by another, with the same or different parties, and what happens to the old obligations.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62</w:t>
      </w:r>
    </w:p>
    <w:p>
      <w:pPr>
        <w:pStyle w:val="Bullet"/>
      </w:pPr>
      <w:r>
        <w:t xml:space="preserve">•  Lata Construction v. Dr. Rameshchandra Ramniklal Shah, (2000) 1 SCC 586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https://firstprecedent.org/concepts/novation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