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CN-0537 · Civil Procedure</w:t>
      </w:r>
    </w:p>
    <w:p>
      <w:pPr>
        <w:pStyle w:val="Title"/>
      </w:pPr>
      <w:r>
        <w:t xml:space="preserve">Notice before Suing the Government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two months’ notice that must be given before a suit against the government or a public officer, and when it may be dispensed with.</w:t>
      </w:r>
    </w:p>
    <w:p>
      <w:pPr>
        <w:pStyle w:val="Guidance"/>
      </w:pPr>
      <w:r>
        <w:t xml:space="preserve">Authorities to start from. These are places to begin, listed by the editors. Read each one in the original and check the citation before you rely on it.</w:t>
      </w:r>
    </w:p>
    <w:p>
      <w:pPr>
        <w:pStyle w:val="Bullet"/>
      </w:pPr>
      <w:r>
        <w:t xml:space="preserve">•  Code of Civil Procedure, 1908, § 80</w:t>
      </w:r>
    </w:p>
    <w:p>
      <w:pPr>
        <w:pStyle w:val="Bullet"/>
      </w:pPr>
      <w:r>
        <w:t xml:space="preserve">•  Bihari Chowdhary v. State of Bihar, (1984) 2 SCC 627</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https://firstprecedent.org/concepts/notice-before-suing-the-government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