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CN-0458 · Constitutional</w:t>
      </w:r>
    </w:p>
    <w:p>
      <w:pPr>
        <w:pStyle w:val="Title"/>
      </w:pPr>
      <w:r>
        <w:t xml:space="preserve">None of the Above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voter’s option to reject every candidate, grounded in the secrecy of the ballot and the freedom of expression.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People’s Union for Civil Liberties v. Union of India, (2013) 10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https://firstprecedent.org/concepts/none-of-the-above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