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CN-0314 · Banking</w:t>
      </w:r>
    </w:p>
    <w:p>
      <w:pPr>
        <w:pStyle w:val="Title"/>
      </w:pPr>
      <w:r>
        <w:t xml:space="preserve">Non-Performing Asset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loan classified by the lender as no longer performing, and why that classification opens the way to enforcement without a court.</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Securitisation and Reconstruction of Financial Assets and Enforcement of Security Interest Act, 2002, §§ 2(1)(o), 13</w:t>
      </w:r>
    </w:p>
    <w:p>
      <w:pPr>
        <w:pStyle w:val="Bullet"/>
      </w:pPr>
      <w:r>
        <w:t xml:space="preserve">•  Mardia Chemicals Ltd. v. Union of India, (2004) 4 SCC 311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https://firstprecedent.org/concepts/non-performing-asset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