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CN-0179 · Civil Procedure</w:t>
      </w:r>
    </w:p>
    <w:p>
      <w:pPr>
        <w:pStyle w:val="Title"/>
      </w:pPr>
      <w:r>
        <w:t xml:space="preserve">Necessary and Proper Party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Who must be joined for a suit to proceed, who may be joined for a complete decision, and the court’s power to add or strike out.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Order I, Rule 10</w:t>
      </w:r>
    </w:p>
    <w:p>
      <w:pPr>
        <w:pStyle w:val="Bullet"/>
      </w:pPr>
      <w:r>
        <w:t xml:space="preserve">•  Kasturi v. Iyyamperumal, (2005) 6 SCC 733</w:t>
      </w:r>
    </w:p>
    <w:p>
      <w:pPr>
        <w:pStyle w:val="Bullet"/>
      </w:pPr>
      <w:r>
        <w:t xml:space="preserve">•  Mumbai International Airport (P) Ltd. v. Regency Convention Centre &amp; Hotels (P) Ltd., (2010) 7 SCC 417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https://firstprecedent.org/concepts/necessary-and-proper-party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