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CN-0405 · International (Public)</w:t>
      </w:r>
    </w:p>
    <w:p>
      <w:pPr>
        <w:pStyle w:val="Title"/>
      </w:pPr>
      <w:r>
        <w:t xml:space="preserve">Nationality and the Genuine Link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State may protect a person as its national against another State, and the requirement of a real connection.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Nottebohm Case (Liech. v. Guat.), Second Phase, Judgment, 1955 I.C.J. 4 (Apr. 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https://firstprecedent.org/concepts/nationality-and-the-genuine-link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