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CN-0260 · Family</w:t>
      </w:r>
    </w:p>
    <w:p>
      <w:pPr>
        <w:pStyle w:val="Title"/>
      </w:pPr>
      <w:r>
        <w:t xml:space="preserve">Muslim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Marriage in Muslim law as a civil contract, its essentials, and the classification into valid, irregular and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Abdul Kadir v. Salima, ILR (1886) 8 All 149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https://firstprecedent.org/concepts/muslim-marriage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