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CN-0173 · Evidence</w:t>
      </w:r>
    </w:p>
    <w:p>
      <w:pPr>
        <w:pStyle w:val="Title"/>
      </w:pPr>
      <w:r>
        <w:t xml:space="preserve">Motive, Preparation and Conduct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Why motive, preparation and conduct before and after the event are relevant, and how much the absence of motive matters.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8 (now Bharatiya Sakshya Adhiniyam, 2023, § 6)</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https://firstprecedent.org/concepts/motive-preparation-and-conduct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