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CN-0358 · IP</w:t>
      </w:r>
    </w:p>
    <w:p>
      <w:pPr>
        <w:pStyle w:val="Title"/>
      </w:pPr>
      <w:r>
        <w:t xml:space="preserve">Moral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author’s right to be named and to object to distortion of the work, which survives the sale of the copyright.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57</w:t>
      </w:r>
    </w:p>
    <w:p>
      <w:pPr>
        <w:pStyle w:val="Bullet"/>
      </w:pPr>
      <w:r>
        <w:t xml:space="preserve">•  Amar Nath Sehgal v. Union of India, (2005) 30 PTC 253 (Del)</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https://firstprecedent.org/concepts/moral-rights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